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29D2E5E2" w:rsidR="00D26BFF" w:rsidRPr="00F21859" w:rsidRDefault="00FD612C"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October</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7B2967">
        <w:rPr>
          <w:rFonts w:ascii="Tahoma" w:hAnsi="Tahoma" w:cs="Tahoma"/>
          <w:color w:val="FF6600"/>
          <w:sz w:val="24"/>
          <w:szCs w:val="24"/>
          <w:lang w:eastAsia="x-none"/>
        </w:rPr>
        <w:t>6</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432F04"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BDA92B4" w:rsidR="00432F04" w:rsidRPr="00432F04" w:rsidRDefault="00432F04" w:rsidP="00432F04">
            <w:pPr>
              <w:rPr>
                <w:rFonts w:ascii="Tahoma" w:hAnsi="Tahoma" w:cs="Tahoma"/>
                <w:b w:val="0"/>
                <w:color w:val="000000" w:themeColor="text1"/>
                <w:sz w:val="16"/>
                <w:szCs w:val="16"/>
              </w:rPr>
            </w:pPr>
            <w:r w:rsidRPr="00432F04">
              <w:rPr>
                <w:rFonts w:ascii="Tahoma" w:hAnsi="Tahoma" w:cs="Tahoma"/>
                <w:b w:val="0"/>
                <w:sz w:val="16"/>
                <w:szCs w:val="19"/>
              </w:rPr>
              <w:t>System Center Configuration Manager 1606</w:t>
            </w:r>
          </w:p>
        </w:tc>
        <w:tc>
          <w:tcPr>
            <w:tcW w:w="5400" w:type="dxa"/>
            <w:shd w:val="clear" w:color="auto" w:fill="auto"/>
            <w:vAlign w:val="center"/>
          </w:tcPr>
          <w:p w14:paraId="4303611D" w14:textId="1B01B71D" w:rsidR="00432F04" w:rsidRPr="00432F04" w:rsidRDefault="00432F04" w:rsidP="00432F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432F04">
              <w:rPr>
                <w:rFonts w:ascii="Tahoma" w:hAnsi="Tahoma" w:cs="Tahoma"/>
                <w:bCs/>
                <w:sz w:val="16"/>
                <w:szCs w:val="19"/>
              </w:rPr>
              <w:t>System Center 2012 R2 Configuration Manager</w:t>
            </w:r>
          </w:p>
        </w:tc>
      </w:tr>
      <w:tr w:rsidR="00432F04"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76BBB6B" w:rsidR="00432F04" w:rsidRPr="00432F04" w:rsidRDefault="00432F04" w:rsidP="00432F04">
            <w:pPr>
              <w:rPr>
                <w:rFonts w:ascii="Tahoma" w:hAnsi="Tahoma" w:cs="Tahoma"/>
                <w:b w:val="0"/>
                <w:color w:val="000000" w:themeColor="text1"/>
                <w:sz w:val="16"/>
                <w:szCs w:val="16"/>
              </w:rPr>
            </w:pPr>
            <w:r w:rsidRPr="00432F04">
              <w:rPr>
                <w:rFonts w:ascii="Tahoma" w:hAnsi="Tahoma" w:cs="Tahoma"/>
                <w:b w:val="0"/>
                <w:sz w:val="16"/>
                <w:szCs w:val="19"/>
                <w:lang w:val="fr-FR"/>
              </w:rPr>
              <w:t xml:space="preserve">System Center </w:t>
            </w:r>
            <w:r w:rsidRPr="00432F04">
              <w:rPr>
                <w:rFonts w:ascii="Tahoma" w:hAnsi="Tahoma" w:cs="Tahoma"/>
                <w:b w:val="0"/>
                <w:sz w:val="16"/>
                <w:szCs w:val="19"/>
              </w:rPr>
              <w:t>2016</w:t>
            </w:r>
            <w:r w:rsidRPr="00432F04">
              <w:rPr>
                <w:rFonts w:ascii="Tahoma" w:hAnsi="Tahoma" w:cs="Tahoma"/>
                <w:b w:val="0"/>
                <w:sz w:val="16"/>
                <w:szCs w:val="19"/>
                <w:lang w:val="fr-FR"/>
              </w:rPr>
              <w:t xml:space="preserve"> Client Management Suite</w:t>
            </w:r>
          </w:p>
        </w:tc>
        <w:tc>
          <w:tcPr>
            <w:tcW w:w="5400" w:type="dxa"/>
            <w:shd w:val="clear" w:color="auto" w:fill="auto"/>
            <w:vAlign w:val="center"/>
          </w:tcPr>
          <w:p w14:paraId="6D955E69" w14:textId="645120FF" w:rsidR="00432F04" w:rsidRPr="00432F04" w:rsidRDefault="00432F04"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432F04">
              <w:rPr>
                <w:rFonts w:ascii="Tahoma" w:hAnsi="Tahoma" w:cs="Tahoma"/>
                <w:bCs/>
                <w:sz w:val="16"/>
                <w:szCs w:val="19"/>
                <w:lang w:val="fr-FR"/>
              </w:rPr>
              <w:t>System Center 2012 R2 Client Management Suite</w:t>
            </w:r>
          </w:p>
        </w:tc>
      </w:tr>
      <w:tr w:rsidR="00432F04" w:rsidRPr="00F21859" w14:paraId="3EDDC30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80553B8" w14:textId="508A8CD5" w:rsidR="00432F04" w:rsidRPr="00432F04" w:rsidRDefault="00432F04" w:rsidP="005940EB">
            <w:pPr>
              <w:rPr>
                <w:rFonts w:ascii="Tahoma" w:hAnsi="Tahoma" w:cs="Tahoma"/>
                <w:b w:val="0"/>
                <w:color w:val="000000" w:themeColor="text1"/>
                <w:sz w:val="16"/>
                <w:szCs w:val="16"/>
              </w:rPr>
            </w:pPr>
            <w:r w:rsidRPr="00432F04">
              <w:rPr>
                <w:rFonts w:ascii="Tahoma" w:hAnsi="Tahoma" w:cs="Tahoma"/>
                <w:b w:val="0"/>
                <w:sz w:val="16"/>
                <w:szCs w:val="19"/>
                <w:lang w:val="pt-BR"/>
              </w:rPr>
              <w:t xml:space="preserve">System Center </w:t>
            </w:r>
            <w:r w:rsidRPr="00432F04">
              <w:rPr>
                <w:rFonts w:ascii="Tahoma" w:hAnsi="Tahoma" w:cs="Tahoma"/>
                <w:b w:val="0"/>
                <w:sz w:val="16"/>
                <w:szCs w:val="19"/>
              </w:rPr>
              <w:t xml:space="preserve">2016 </w:t>
            </w:r>
            <w:r w:rsidRPr="00432F04">
              <w:rPr>
                <w:rFonts w:ascii="Tahoma" w:hAnsi="Tahoma" w:cs="Tahoma"/>
                <w:b w:val="0"/>
                <w:sz w:val="16"/>
                <w:szCs w:val="19"/>
                <w:lang w:val="pt-BR"/>
              </w:rPr>
              <w:t>Datacenter</w:t>
            </w:r>
          </w:p>
        </w:tc>
        <w:tc>
          <w:tcPr>
            <w:tcW w:w="5400" w:type="dxa"/>
            <w:shd w:val="clear" w:color="auto" w:fill="auto"/>
            <w:vAlign w:val="center"/>
          </w:tcPr>
          <w:p w14:paraId="6F6989F1" w14:textId="6A3E5D35" w:rsidR="00432F04" w:rsidRPr="00432F04" w:rsidRDefault="00432F04" w:rsidP="00432F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432F04">
              <w:rPr>
                <w:rFonts w:ascii="Tahoma" w:hAnsi="Tahoma" w:cs="Tahoma"/>
                <w:bCs/>
                <w:sz w:val="16"/>
                <w:szCs w:val="19"/>
                <w:lang w:val="pt-BR"/>
              </w:rPr>
              <w:t>System Center 2012 R2 Datacenter</w:t>
            </w:r>
          </w:p>
        </w:tc>
      </w:tr>
      <w:tr w:rsidR="00432F04" w:rsidRPr="00F21859" w14:paraId="77321E4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E4BF85" w14:textId="26B53B1C" w:rsidR="00432F04" w:rsidRPr="00432F04" w:rsidRDefault="00432F04" w:rsidP="005940EB">
            <w:pPr>
              <w:rPr>
                <w:rFonts w:ascii="Tahoma" w:hAnsi="Tahoma" w:cs="Tahoma"/>
                <w:b w:val="0"/>
                <w:color w:val="000000" w:themeColor="text1"/>
                <w:sz w:val="16"/>
                <w:szCs w:val="16"/>
              </w:rPr>
            </w:pPr>
            <w:r w:rsidRPr="00432F04">
              <w:rPr>
                <w:rFonts w:ascii="Tahoma" w:hAnsi="Tahoma" w:cs="Tahoma"/>
                <w:b w:val="0"/>
                <w:sz w:val="16"/>
                <w:szCs w:val="19"/>
                <w:lang w:val="pt-BR"/>
              </w:rPr>
              <w:t xml:space="preserve">System Center </w:t>
            </w:r>
            <w:r w:rsidRPr="00432F04">
              <w:rPr>
                <w:rFonts w:ascii="Tahoma" w:hAnsi="Tahoma" w:cs="Tahoma"/>
                <w:b w:val="0"/>
                <w:sz w:val="16"/>
                <w:szCs w:val="19"/>
              </w:rPr>
              <w:t>2016</w:t>
            </w:r>
            <w:r w:rsidRPr="00432F04">
              <w:rPr>
                <w:rFonts w:ascii="Tahoma" w:hAnsi="Tahoma" w:cs="Tahoma"/>
                <w:b w:val="0"/>
                <w:sz w:val="16"/>
                <w:szCs w:val="19"/>
                <w:lang w:val="pt-BR"/>
              </w:rPr>
              <w:t xml:space="preserve"> Standard</w:t>
            </w:r>
          </w:p>
        </w:tc>
        <w:tc>
          <w:tcPr>
            <w:tcW w:w="5400" w:type="dxa"/>
            <w:shd w:val="clear" w:color="auto" w:fill="auto"/>
            <w:vAlign w:val="center"/>
          </w:tcPr>
          <w:p w14:paraId="1C940FE2" w14:textId="22796FE1" w:rsidR="00432F04" w:rsidRPr="00432F04" w:rsidRDefault="00432F04"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432F04">
              <w:rPr>
                <w:rFonts w:ascii="Tahoma" w:hAnsi="Tahoma" w:cs="Tahoma"/>
                <w:bCs/>
                <w:sz w:val="16"/>
                <w:szCs w:val="19"/>
                <w:lang w:val="pt-BR"/>
              </w:rPr>
              <w:t>System Center 2012 R2 Standard</w:t>
            </w:r>
          </w:p>
        </w:tc>
      </w:tr>
      <w:tr w:rsidR="00432F04" w:rsidRPr="00F21859" w14:paraId="1D67647A"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8C07E15" w14:textId="102CD1CD" w:rsidR="00432F04" w:rsidRPr="00432F04" w:rsidRDefault="00432F04" w:rsidP="00432F04">
            <w:pPr>
              <w:rPr>
                <w:rFonts w:ascii="Tahoma" w:hAnsi="Tahoma" w:cs="Tahoma"/>
                <w:b w:val="0"/>
                <w:color w:val="000000" w:themeColor="text1"/>
                <w:sz w:val="16"/>
                <w:szCs w:val="16"/>
              </w:rPr>
            </w:pPr>
            <w:r w:rsidRPr="00432F04">
              <w:rPr>
                <w:rFonts w:ascii="Tahoma" w:hAnsi="Tahoma" w:cs="Tahoma"/>
                <w:b w:val="0"/>
                <w:sz w:val="16"/>
                <w:szCs w:val="19"/>
              </w:rPr>
              <w:t>Windows Server 2016 Remote Desktop Services CAL</w:t>
            </w:r>
          </w:p>
        </w:tc>
        <w:tc>
          <w:tcPr>
            <w:tcW w:w="5400" w:type="dxa"/>
            <w:shd w:val="clear" w:color="auto" w:fill="auto"/>
            <w:vAlign w:val="center"/>
          </w:tcPr>
          <w:p w14:paraId="6BB1C1DE" w14:textId="6BCF70F2" w:rsidR="00432F04" w:rsidRPr="00432F04" w:rsidRDefault="00432F04" w:rsidP="00432F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432F04">
              <w:rPr>
                <w:rFonts w:ascii="Tahoma" w:hAnsi="Tahoma" w:cs="Tahoma"/>
                <w:bCs/>
                <w:sz w:val="16"/>
                <w:szCs w:val="19"/>
              </w:rPr>
              <w:t>Windows Server 2012 Remote Desktop Services CAL</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6FAA4637" w14:textId="1FF37406" w:rsidR="007E0833" w:rsidRPr="007E0833" w:rsidRDefault="007E0833" w:rsidP="00C267FD">
      <w:pPr>
        <w:rPr>
          <w:rFonts w:ascii="Tahoma" w:hAnsi="Tahoma" w:cs="Tahoma"/>
          <w:b/>
          <w:bCs/>
          <w:iCs/>
          <w:color w:val="000000" w:themeColor="text1"/>
        </w:rPr>
      </w:pPr>
      <w:r w:rsidRPr="007E0833">
        <w:rPr>
          <w:rFonts w:ascii="Tahoma" w:hAnsi="Tahoma" w:cs="Tahoma"/>
          <w:b/>
          <w:bCs/>
          <w:iCs/>
          <w:color w:val="000000" w:themeColor="text1"/>
        </w:rPr>
        <w:t xml:space="preserve">SQL Server 2014 Business </w:t>
      </w:r>
      <w:r w:rsidRPr="00B942DC">
        <w:rPr>
          <w:rFonts w:ascii="Tahoma" w:hAnsi="Tahoma" w:cs="Tahoma"/>
          <w:b/>
          <w:bCs/>
          <w:iCs/>
          <w:color w:val="000000" w:themeColor="text1"/>
        </w:rPr>
        <w:t>Intelligence</w:t>
      </w:r>
      <w:r w:rsidR="00403BDF" w:rsidRPr="00B942DC">
        <w:rPr>
          <w:rFonts w:ascii="Tahoma" w:hAnsi="Tahoma" w:cs="Tahoma"/>
          <w:b/>
          <w:bCs/>
          <w:iCs/>
          <w:color w:val="000000" w:themeColor="text1"/>
        </w:rPr>
        <w:t xml:space="preserve"> </w:t>
      </w:r>
      <w:r w:rsidR="00B942DC" w:rsidRPr="00B942DC">
        <w:rPr>
          <w:rFonts w:ascii="Tahoma" w:hAnsi="Tahoma" w:cs="Tahoma"/>
          <w:b/>
          <w:bCs/>
          <w:iCs/>
          <w:color w:val="000000" w:themeColor="text1"/>
        </w:rPr>
        <w:t xml:space="preserve">Embedded Maintenance </w:t>
      </w:r>
      <w:r w:rsidR="00403BDF" w:rsidRPr="00B942DC">
        <w:rPr>
          <w:rFonts w:ascii="Tahoma" w:hAnsi="Tahoma" w:cs="Tahoma"/>
          <w:b/>
          <w:bCs/>
          <w:iCs/>
          <w:color w:val="000000" w:themeColor="text1"/>
        </w:rPr>
        <w:t>Migration</w:t>
      </w:r>
    </w:p>
    <w:p w14:paraId="22BB8BB3" w14:textId="3F2C0A88" w:rsidR="00F038FE" w:rsidRPr="00B942DC" w:rsidRDefault="00B942DC" w:rsidP="00B942DC">
      <w:pPr>
        <w:tabs>
          <w:tab w:val="left" w:pos="4320"/>
        </w:tabs>
        <w:rPr>
          <w:rFonts w:ascii="Tahoma" w:hAnsi="Tahoma" w:cs="Tahoma"/>
          <w:bCs/>
          <w:iCs/>
          <w:color w:val="000000" w:themeColor="text1"/>
        </w:rPr>
      </w:pPr>
      <w:r>
        <w:rPr>
          <w:rFonts w:ascii="Tahoma" w:hAnsi="Tahoma" w:cs="Tahoma"/>
          <w:bCs/>
          <w:iCs/>
          <w:color w:val="000000" w:themeColor="text1"/>
        </w:rPr>
        <w:t xml:space="preserve">Migrations of </w:t>
      </w:r>
      <w:r w:rsidRPr="005D3454">
        <w:rPr>
          <w:rFonts w:ascii="Tahoma" w:hAnsi="Tahoma" w:cs="Tahoma"/>
          <w:bCs/>
          <w:iCs/>
          <w:color w:val="000000" w:themeColor="text1"/>
        </w:rPr>
        <w:t>SQL Server 2014 Business Intelligence</w:t>
      </w:r>
      <w:r>
        <w:rPr>
          <w:rFonts w:ascii="Tahoma" w:hAnsi="Tahoma" w:cs="Tahoma"/>
          <w:bCs/>
          <w:iCs/>
          <w:color w:val="000000" w:themeColor="text1"/>
        </w:rPr>
        <w:t xml:space="preserve"> to </w:t>
      </w:r>
      <w:r w:rsidRPr="005D3454">
        <w:rPr>
          <w:rFonts w:ascii="Tahoma" w:hAnsi="Tahoma" w:cs="Tahoma"/>
          <w:bCs/>
          <w:iCs/>
          <w:color w:val="000000" w:themeColor="text1"/>
        </w:rPr>
        <w:t>SQL Server 2016 Enterprise</w:t>
      </w:r>
      <w:r>
        <w:rPr>
          <w:rFonts w:ascii="Tahoma" w:hAnsi="Tahoma" w:cs="Tahoma"/>
          <w:bCs/>
          <w:iCs/>
          <w:color w:val="000000" w:themeColor="text1"/>
        </w:rPr>
        <w:t xml:space="preserve"> are granted for </w:t>
      </w:r>
      <w:r w:rsidRPr="005D3454">
        <w:rPr>
          <w:rFonts w:ascii="Tahoma" w:hAnsi="Tahoma" w:cs="Tahoma"/>
          <w:bCs/>
          <w:iCs/>
          <w:color w:val="000000" w:themeColor="text1"/>
        </w:rPr>
        <w:t>Customers with End Users with active Embedded Maintenance</w:t>
      </w:r>
      <w:r>
        <w:rPr>
          <w:rFonts w:ascii="Tahoma" w:hAnsi="Tahoma" w:cs="Tahoma"/>
          <w:bCs/>
          <w:iCs/>
          <w:color w:val="000000" w:themeColor="text1"/>
        </w:rPr>
        <w:t>.</w:t>
      </w:r>
      <w:r w:rsidR="00D63435"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sidRPr="00F21859">
              <w:rPr>
                <w:rFonts w:ascii="Tahoma" w:hAnsi="Tahoma" w:cs="Tahoma"/>
                <w:bCs/>
                <w:sz w:val="16"/>
                <w:szCs w:val="19"/>
              </w:rPr>
              <w:t xml:space="preserve">System Center </w:t>
            </w:r>
            <w:r w:rsidR="00485D5E" w:rsidRPr="00F21859">
              <w:rPr>
                <w:rFonts w:ascii="Tahoma" w:hAnsi="Tahoma" w:cs="Tahoma"/>
                <w:bCs/>
                <w:sz w:val="16"/>
                <w:szCs w:val="19"/>
              </w:rPr>
              <w:t xml:space="preserve"> </w:t>
            </w:r>
            <w:r w:rsidRPr="00F21859">
              <w:rPr>
                <w:rFonts w:ascii="Tahoma" w:hAnsi="Tahoma" w:cs="Tahoma"/>
                <w:bCs/>
                <w:sz w:val="16"/>
                <w:szCs w:val="19"/>
              </w:rPr>
              <w:t>Configuration Manager</w:t>
            </w:r>
            <w:r w:rsidR="00DE0884">
              <w:rPr>
                <w:rFonts w:ascii="Tahoma" w:hAnsi="Tahoma" w:cs="Tahoma"/>
                <w:bCs/>
                <w:sz w:val="16"/>
                <w:szCs w:val="19"/>
              </w:rPr>
              <w:t xml:space="preserve">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3" w:name="_Q.__Do_I_need_to_buy_Commerce_Serve"/>
      <w:bookmarkEnd w:id="1"/>
      <w:bookmarkEnd w:id="2"/>
      <w:bookmarkEnd w:id="3"/>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19AF6885" w14:textId="67CBA965" w:rsidR="005D3454" w:rsidRDefault="005D3454" w:rsidP="008E2012">
      <w:pPr>
        <w:pStyle w:val="ListParagraph"/>
        <w:numPr>
          <w:ilvl w:val="0"/>
          <w:numId w:val="31"/>
        </w:numPr>
        <w:tabs>
          <w:tab w:val="left" w:pos="720"/>
        </w:tabs>
        <w:spacing w:before="120" w:after="120"/>
        <w:ind w:left="720"/>
        <w:rPr>
          <w:rFonts w:ascii="Tahoma" w:hAnsi="Tahoma" w:cs="Tahoma"/>
          <w:bCs/>
          <w:iCs/>
          <w:color w:val="000000"/>
          <w:lang w:val="pt-BR"/>
        </w:rPr>
      </w:pPr>
      <w:r>
        <w:rPr>
          <w:rFonts w:ascii="Tahoma" w:hAnsi="Tahoma" w:cs="Tahoma"/>
          <w:bCs/>
          <w:iCs/>
          <w:color w:val="000000"/>
          <w:lang w:val="pt-BR"/>
        </w:rPr>
        <w:t>Windows Server 2016 Remote Desktop Service</w:t>
      </w:r>
      <w:r w:rsidR="0081278A">
        <w:rPr>
          <w:rFonts w:ascii="Tahoma" w:hAnsi="Tahoma" w:cs="Tahoma"/>
          <w:bCs/>
          <w:iCs/>
          <w:color w:val="000000"/>
          <w:lang w:val="pt-BR"/>
        </w:rPr>
        <w:t>s</w:t>
      </w:r>
      <w:r>
        <w:rPr>
          <w:rFonts w:ascii="Tahoma" w:hAnsi="Tahoma" w:cs="Tahoma"/>
          <w:bCs/>
          <w:iCs/>
          <w:color w:val="000000"/>
          <w:lang w:val="pt-BR"/>
        </w:rPr>
        <w:t xml:space="preserve"> CAL</w:t>
      </w:r>
    </w:p>
    <w:p w14:paraId="50B95778" w14:textId="68F1A763"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bookmarkStart w:id="4" w:name="_GoBack"/>
      <w:bookmarkEnd w:id="4"/>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2034F2B7" w14:textId="570CD648" w:rsidR="00F0618B" w:rsidRDefault="00F0618B">
      <w:pPr>
        <w:rPr>
          <w:rFonts w:ascii="Tahoma" w:hAnsi="Tahoma" w:cs="Tahoma"/>
        </w:rPr>
      </w:pP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636F35D4" w14:textId="77777777" w:rsidR="00E43388" w:rsidRDefault="00E43388">
      <w:pPr>
        <w:rPr>
          <w:rFonts w:ascii="Tahoma" w:hAnsi="Tahoma" w:cs="Tahoma"/>
          <w:b/>
        </w:rPr>
      </w:pPr>
      <w:r>
        <w:rPr>
          <w:rFonts w:ascii="Tahoma" w:hAnsi="Tahoma" w:cs="Tahoma"/>
          <w:b/>
        </w:rPr>
        <w:br w:type="page"/>
      </w:r>
    </w:p>
    <w:p w14:paraId="22BB8D31" w14:textId="41FB5EC3"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Default="00F0618B">
      <w:pPr>
        <w:rPr>
          <w:rFonts w:ascii="Tahoma" w:hAnsi="Tahoma" w:cs="Tahoma"/>
          <w:b/>
        </w:rPr>
      </w:pPr>
      <w:bookmarkStart w:id="5" w:name="SQLServe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98F0208" w:rsidR="004247CA" w:rsidRPr="00EB0883" w:rsidRDefault="004247CA" w:rsidP="00D80F55">
      <w:pPr>
        <w:spacing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5400" w:type="dxa"/>
          </w:tcPr>
          <w:p w14:paraId="72395830" w14:textId="3B9C9160"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bl>
    <w:p w14:paraId="5A6F20AA" w14:textId="3344BE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on (i)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(i)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go.microsoft.com/fwlink/?LinkID=229882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07F3B2B4"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2014</w:t>
      </w:r>
      <w:r w:rsidR="00F936AB">
        <w:rPr>
          <w:rFonts w:ascii="Tahoma" w:hAnsi="Tahoma" w:cs="Tahoma"/>
          <w:bCs/>
          <w:iCs/>
          <w:color w:val="000000" w:themeColor="text1"/>
        </w:rPr>
        <w:t xml:space="preserve"> or 2016</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3A162B66" w14:textId="77777777" w:rsidR="004A5BCA" w:rsidRPr="00EB0883" w:rsidRDefault="004A5BCA" w:rsidP="004A5BCA">
      <w:pPr>
        <w:rPr>
          <w:color w:val="000000" w:themeColor="text1"/>
        </w:rPr>
      </w:pPr>
    </w:p>
    <w:p w14:paraId="447D0AB6" w14:textId="386631A2"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2C580C26" w14:textId="50DE9E2E" w:rsidR="005D3454" w:rsidRDefault="005D3454" w:rsidP="00E41383">
      <w:pPr>
        <w:tabs>
          <w:tab w:val="left" w:pos="4320"/>
        </w:tabs>
        <w:rPr>
          <w:rFonts w:ascii="Tahoma" w:hAnsi="Tahoma" w:cs="Tahoma"/>
          <w:bCs/>
          <w:iCs/>
          <w:color w:val="000000" w:themeColor="text1"/>
        </w:rPr>
      </w:pPr>
      <w:r w:rsidRPr="005D3454">
        <w:rPr>
          <w:rFonts w:ascii="Tahoma" w:hAnsi="Tahoma" w:cs="Tahoma"/>
          <w:bCs/>
          <w:iCs/>
          <w:color w:val="000000" w:themeColor="text1"/>
        </w:rPr>
        <w:t>SQL Server 2014 Business Intelligence was the last version of SQL Server Business Intelligence edition. Customers with End Users with active Embedded Maintenance for SQL Server Business Intelligence edition may upgrade to SQL Server 2016 Enterprise</w:t>
      </w:r>
      <w:r w:rsidR="009C3CD0">
        <w:rPr>
          <w:rFonts w:ascii="Tahoma" w:hAnsi="Tahoma" w:cs="Tahoma"/>
          <w:bCs/>
          <w:iCs/>
          <w:color w:val="000000" w:themeColor="text1"/>
        </w:rPr>
        <w:t>,</w:t>
      </w:r>
      <w:r w:rsidR="00A15E66" w:rsidRPr="00A15E66">
        <w:t xml:space="preserve"> </w:t>
      </w:r>
      <w:r w:rsidR="00A15E66" w:rsidRPr="00A15E66">
        <w:rPr>
          <w:rFonts w:ascii="Tahoma" w:hAnsi="Tahoma" w:cs="Tahoma"/>
          <w:bCs/>
          <w:iCs/>
          <w:color w:val="000000" w:themeColor="text1"/>
        </w:rPr>
        <w:t>provided the Embedded Maintenance coverage was obtained on or before May 2016. SQL Server Business Intelligence edition full use and Runtime Restricted licenses will be upgraded to Server/CAL full use and Runtime Restricted licenses, respectively.</w:t>
      </w:r>
    </w:p>
    <w:p w14:paraId="79C52BBA" w14:textId="77777777" w:rsidR="005D3454" w:rsidRDefault="005D3454" w:rsidP="00E41383">
      <w:pPr>
        <w:tabs>
          <w:tab w:val="left" w:pos="4320"/>
        </w:tabs>
        <w:rPr>
          <w:rFonts w:ascii="Tahoma" w:hAnsi="Tahoma" w:cs="Tahoma"/>
          <w:bCs/>
          <w:iCs/>
          <w:color w:val="000000" w:themeColor="text1"/>
        </w:rPr>
      </w:pPr>
    </w:p>
    <w:p w14:paraId="45CA77E9" w14:textId="0FBA5114"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C77A50B" w14:textId="2E5D6677" w:rsidR="00DE0884" w:rsidRDefault="00DE0884" w:rsidP="00DE0884">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5287E">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5287E">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Datacenter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Datacenter</w:t>
            </w:r>
            <w:r w:rsidR="00772EF6">
              <w:rPr>
                <w:rFonts w:ascii="Tahoma" w:hAnsi="Tahoma" w:cs="Tahoma"/>
                <w:bCs/>
                <w:iCs/>
                <w:color w:val="000000" w:themeColor="text1"/>
              </w:rPr>
              <w:t xml:space="preserve">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Standard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Standard</w:t>
            </w:r>
            <w:r w:rsidR="00772EF6">
              <w:rPr>
                <w:rFonts w:ascii="Tahoma" w:hAnsi="Tahoma" w:cs="Tahoma"/>
                <w:bCs/>
                <w:iCs/>
                <w:color w:val="000000" w:themeColor="text1"/>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5827E259" w:rsidR="00772EF6" w:rsidRPr="00423A37" w:rsidRDefault="00D934DF"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(i)</w:t>
      </w:r>
      <w:r w:rsidR="0065287E" w:rsidRPr="00423A37">
        <w:rPr>
          <w:rFonts w:ascii="Tahoma" w:hAnsi="Tahoma" w:cs="Tahoma"/>
          <w:bCs/>
          <w:iCs/>
          <w:color w:val="000000" w:themeColor="text1"/>
        </w:rPr>
        <w:t xml:space="preserve"> at the time of the upgrade (for upgrades</w:t>
      </w:r>
      <w:r w:rsidR="005940EB" w:rsidRPr="00423A37">
        <w:rPr>
          <w:rFonts w:ascii="Tahoma" w:hAnsi="Tahoma" w:cs="Tahoma"/>
          <w:bCs/>
          <w:iCs/>
          <w:color w:val="000000" w:themeColor="text1"/>
        </w:rPr>
        <w:t xml:space="preserve"> scheduled prior to</w:t>
      </w:r>
      <w:r w:rsidR="0065287E" w:rsidRPr="00423A37">
        <w:rPr>
          <w:rFonts w:ascii="Tahoma" w:hAnsi="Tahoma" w:cs="Tahoma"/>
          <w:bCs/>
          <w:iCs/>
          <w:color w:val="000000" w:themeColor="text1"/>
        </w:rPr>
        <w:t xml:space="preserve"> </w:t>
      </w:r>
      <w:r w:rsidR="009522AB">
        <w:rPr>
          <w:rFonts w:ascii="Tahoma" w:hAnsi="Tahoma" w:cs="Tahoma"/>
          <w:bCs/>
          <w:iCs/>
          <w:color w:val="000000" w:themeColor="text1"/>
        </w:rPr>
        <w:t>the end of the End User’s current EM term</w:t>
      </w:r>
      <w:r w:rsidR="0065287E" w:rsidRPr="00423A37">
        <w:rPr>
          <w:rFonts w:ascii="Tahoma" w:hAnsi="Tahoma" w:cs="Tahoma"/>
          <w:bCs/>
          <w:iCs/>
          <w:color w:val="000000" w:themeColor="text1"/>
        </w:rPr>
        <w:t>)</w:t>
      </w:r>
      <w:r w:rsidR="005D7205" w:rsidRPr="00423A37">
        <w:rPr>
          <w:rFonts w:ascii="Tahoma" w:hAnsi="Tahoma" w:cs="Tahoma"/>
          <w:bCs/>
          <w:iCs/>
          <w:color w:val="000000" w:themeColor="text1"/>
        </w:rPr>
        <w:t>;</w:t>
      </w:r>
      <w:r w:rsidR="0065287E" w:rsidRPr="00423A37">
        <w:rPr>
          <w:rFonts w:ascii="Tahoma" w:hAnsi="Tahoma" w:cs="Tahoma"/>
          <w:bCs/>
          <w:iCs/>
          <w:color w:val="000000" w:themeColor="text1"/>
        </w:rPr>
        <w:t xml:space="preserve"> or</w:t>
      </w:r>
    </w:p>
    <w:p w14:paraId="26B64F1A" w14:textId="15FCCA07" w:rsidR="00D934DF" w:rsidRPr="00423A37" w:rsidRDefault="0065287E"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 xml:space="preserve">(ii) </w:t>
      </w:r>
      <w:r w:rsidR="005940EB"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Pr="00423A37">
        <w:rPr>
          <w:rFonts w:ascii="Tahoma" w:hAnsi="Tahoma" w:cs="Tahoma"/>
          <w:bCs/>
          <w:iCs/>
          <w:color w:val="000000" w:themeColor="text1"/>
        </w:rPr>
        <w:t xml:space="preserve"> (for upgrades </w:t>
      </w:r>
      <w:r w:rsidR="005940EB" w:rsidRPr="00423A37">
        <w:rPr>
          <w:rFonts w:ascii="Tahoma" w:hAnsi="Tahoma" w:cs="Tahoma"/>
          <w:bCs/>
          <w:iCs/>
          <w:color w:val="000000" w:themeColor="text1"/>
        </w:rPr>
        <w:t xml:space="preserve">scheduled </w:t>
      </w:r>
      <w:r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Pr="00423A37">
        <w:rPr>
          <w:rFonts w:ascii="Tahoma" w:hAnsi="Tahoma" w:cs="Tahoma"/>
          <w:bCs/>
          <w:iCs/>
          <w:color w:val="000000" w:themeColor="text1"/>
        </w:rPr>
        <w:t xml:space="preserve">. </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Default="00040D5D">
      <w:pPr>
        <w:rPr>
          <w:rFonts w:ascii="Tahoma" w:hAnsi="Tahoma" w:cs="Tahoma"/>
          <w:b/>
          <w:color w:val="FF6600"/>
          <w:sz w:val="24"/>
          <w:szCs w:val="24"/>
          <w:lang w:eastAsia="x-none"/>
        </w:rPr>
      </w:pPr>
      <w:r>
        <w:rPr>
          <w:rFonts w:ascii="Tahoma" w:hAnsi="Tahoma" w:cs="Tahoma"/>
          <w:b/>
          <w:color w:val="FF6600"/>
          <w:sz w:val="24"/>
          <w:szCs w:val="24"/>
          <w:lang w:eastAsia="x-none"/>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6963F007" w14:textId="77777777" w:rsidR="00E43388" w:rsidRDefault="00E43388">
      <w:pPr>
        <w:rPr>
          <w:rFonts w:ascii="Tahoma" w:hAnsi="Tahoma" w:cs="Tahoma"/>
        </w:rPr>
      </w:pPr>
      <w:r>
        <w:rPr>
          <w:rFonts w:ascii="Tahoma" w:hAnsi="Tahoma" w:cs="Tahoma"/>
        </w:rPr>
        <w:br w:type="page"/>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B94C" w14:textId="77777777" w:rsidR="00BF0637" w:rsidRDefault="00BF0637">
      <w:r>
        <w:separator/>
      </w:r>
    </w:p>
    <w:p w14:paraId="31FE59E0" w14:textId="77777777" w:rsidR="00BF0637" w:rsidRDefault="00BF0637"/>
    <w:p w14:paraId="05CAA1DF" w14:textId="77777777" w:rsidR="00BF0637" w:rsidRDefault="00BF0637"/>
  </w:endnote>
  <w:endnote w:type="continuationSeparator" w:id="0">
    <w:p w14:paraId="18918D57" w14:textId="77777777" w:rsidR="00BF0637" w:rsidRDefault="00BF0637">
      <w:r>
        <w:continuationSeparator/>
      </w:r>
    </w:p>
    <w:p w14:paraId="22E8128E" w14:textId="77777777" w:rsidR="00BF0637" w:rsidRDefault="00BF0637"/>
    <w:p w14:paraId="3C1CA428" w14:textId="77777777" w:rsidR="00BF0637" w:rsidRDefault="00BF0637"/>
  </w:endnote>
  <w:endnote w:type="continuationNotice" w:id="1">
    <w:p w14:paraId="718B7F0F" w14:textId="77777777" w:rsidR="00BF0637" w:rsidRDefault="00BF0637"/>
    <w:p w14:paraId="0F965910" w14:textId="77777777" w:rsidR="00BF0637" w:rsidRDefault="00BF0637"/>
    <w:p w14:paraId="15E382F9" w14:textId="77777777" w:rsidR="00BF0637" w:rsidRDefault="00BF0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4CF97" w14:textId="77777777" w:rsidR="0081278A" w:rsidRDefault="00812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61993EC6" w:rsidR="0081278A" w:rsidRPr="004A7492" w:rsidRDefault="0081278A"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October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64D2B">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64D2B">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p w14:paraId="3B82E63E" w14:textId="77777777" w:rsidR="0081278A" w:rsidRDefault="008127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20B0AD84" w:rsidR="0081278A" w:rsidRPr="004A7492" w:rsidRDefault="0081278A"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October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BF0637">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BF0637">
      <w:rPr>
        <w:rStyle w:val="PageNumber"/>
        <w:rFonts w:ascii="Tahoma" w:hAnsi="Tahoma" w:cs="Tahoma"/>
        <w:i/>
        <w:noProof/>
        <w:sz w:val="16"/>
        <w:szCs w:val="16"/>
      </w:rPr>
      <w:t>1</w:t>
    </w:r>
    <w:r w:rsidRPr="004A7492">
      <w:rPr>
        <w:rStyle w:val="PageNumber"/>
        <w:rFonts w:ascii="Tahoma" w:hAnsi="Tahoma" w:cs="Tahoma"/>
        <w:i/>
        <w:sz w:val="16"/>
        <w:szCs w:val="16"/>
      </w:rPr>
      <w:fldChar w:fldCharType="end"/>
    </w:r>
  </w:p>
  <w:p w14:paraId="082AB1CB" w14:textId="77777777" w:rsidR="0081278A" w:rsidRDefault="008127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F2B1" w14:textId="77777777" w:rsidR="00BF0637" w:rsidRDefault="00BF0637">
      <w:r>
        <w:separator/>
      </w:r>
    </w:p>
    <w:p w14:paraId="79973F92" w14:textId="77777777" w:rsidR="00BF0637" w:rsidRDefault="00BF0637"/>
    <w:p w14:paraId="3A6ECAFC" w14:textId="77777777" w:rsidR="00BF0637" w:rsidRDefault="00BF0637"/>
  </w:footnote>
  <w:footnote w:type="continuationSeparator" w:id="0">
    <w:p w14:paraId="62B48195" w14:textId="77777777" w:rsidR="00BF0637" w:rsidRDefault="00BF0637">
      <w:r>
        <w:continuationSeparator/>
      </w:r>
    </w:p>
    <w:p w14:paraId="41DC1CF3" w14:textId="77777777" w:rsidR="00BF0637" w:rsidRDefault="00BF0637"/>
    <w:p w14:paraId="344F7EBA" w14:textId="77777777" w:rsidR="00BF0637" w:rsidRDefault="00BF0637"/>
  </w:footnote>
  <w:footnote w:type="continuationNotice" w:id="1">
    <w:p w14:paraId="49FE631C" w14:textId="77777777" w:rsidR="00BF0637" w:rsidRDefault="00BF0637"/>
    <w:p w14:paraId="3F2CF3BA" w14:textId="77777777" w:rsidR="00BF0637" w:rsidRDefault="00BF0637"/>
    <w:p w14:paraId="3A8EF625" w14:textId="77777777" w:rsidR="00BF0637" w:rsidRDefault="00BF0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D0D4" w14:textId="77777777" w:rsidR="0081278A" w:rsidRDefault="00812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81278A" w:rsidRDefault="0081278A"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1278A" w:rsidRDefault="0081278A"/>
  <w:p w14:paraId="32B99D99" w14:textId="77777777" w:rsidR="0081278A" w:rsidRDefault="008127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81278A" w:rsidRDefault="0081278A">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1278A" w:rsidRDefault="0081278A">
    <w:pPr>
      <w:pStyle w:val="Header"/>
    </w:pPr>
  </w:p>
  <w:p w14:paraId="6F94761F" w14:textId="7957E341" w:rsidR="0081278A" w:rsidRDefault="0081278A">
    <w:pPr>
      <w:pStyle w:val="Header"/>
    </w:pPr>
  </w:p>
  <w:p w14:paraId="7143955E" w14:textId="77777777" w:rsidR="0081278A" w:rsidRDefault="0081278A"/>
  <w:p w14:paraId="3DA694B6" w14:textId="77777777" w:rsidR="0081278A" w:rsidRDefault="008127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6EjRAMRqv8GAlFD+vDiQ/LQb6HAPf7kTZepdFrVH4XdyE501Y0pw6KXFWW9F2htgxYvVTC+XMnekzq2z4xrgw==" w:salt="j2v/cYuhc0SL/GgiQhND0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CEB2-5A63-40E8-9C76-B1D0BF4F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4979</Words>
  <Characters>28382</Characters>
  <Application>Microsoft Office Word</Application>
  <DocSecurity>8</DocSecurity>
  <Lines>236</Lines>
  <Paragraphs>66</Paragraphs>
  <ScaleCrop>false</ScaleCrop>
  <Company/>
  <LinksUpToDate>false</LinksUpToDate>
  <CharactersWithSpaces>33295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2016-09-22T23:48:00Z</dcterms:created>
  <dcterms:modified xsi:type="dcterms:W3CDTF">2016-09-22T23:48:00Z</dcterms:modified>
</cp:coreProperties>
</file>